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F6" w:rsidRPr="00054B72" w:rsidRDefault="00495E1F" w:rsidP="006A13FA">
      <w:pPr>
        <w:rPr>
          <w:rFonts w:cstheme="minorHAnsi"/>
        </w:rPr>
      </w:pPr>
      <w:r w:rsidRPr="00054B72">
        <w:rPr>
          <w:rFonts w:cstheme="minorHAnsi"/>
          <w:b/>
          <w:noProof/>
          <w:color w:val="2F5496" w:themeColor="accent5" w:themeShade="BF"/>
          <w:sz w:val="36"/>
          <w:szCs w:val="36"/>
        </w:rPr>
        <w:drawing>
          <wp:anchor distT="0" distB="0" distL="114300" distR="114300" simplePos="0" relativeHeight="251658240" behindDoc="1" locked="0" layoutInCell="1" allowOverlap="1">
            <wp:simplePos x="0" y="0"/>
            <wp:positionH relativeFrom="column">
              <wp:posOffset>-336550</wp:posOffset>
            </wp:positionH>
            <wp:positionV relativeFrom="page">
              <wp:posOffset>304800</wp:posOffset>
            </wp:positionV>
            <wp:extent cx="1849120" cy="704850"/>
            <wp:effectExtent l="0" t="0" r="0" b="0"/>
            <wp:wrapTight wrapText="bothSides">
              <wp:wrapPolygon edited="0">
                <wp:start x="0" y="0"/>
                <wp:lineTo x="0" y="21016"/>
                <wp:lineTo x="21363" y="2101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120" cy="704850"/>
                    </a:xfrm>
                    <a:prstGeom prst="rect">
                      <a:avLst/>
                    </a:prstGeom>
                  </pic:spPr>
                </pic:pic>
              </a:graphicData>
            </a:graphic>
          </wp:anchor>
        </w:drawing>
      </w:r>
    </w:p>
    <w:p w:rsidR="00CA0395" w:rsidRPr="00054B72" w:rsidRDefault="00CE3DF6" w:rsidP="006A13FA">
      <w:pPr>
        <w:pStyle w:val="Title"/>
        <w:spacing w:after="200" w:line="276" w:lineRule="auto"/>
        <w:contextualSpacing w:val="0"/>
        <w:jc w:val="both"/>
        <w:rPr>
          <w:rFonts w:asciiTheme="minorHAnsi" w:hAnsiTheme="minorHAnsi" w:cstheme="minorHAnsi"/>
          <w:b/>
          <w:color w:val="2F5496" w:themeColor="accent5" w:themeShade="BF"/>
          <w:sz w:val="36"/>
          <w:szCs w:val="36"/>
        </w:rPr>
      </w:pPr>
      <w:r w:rsidRPr="00054B72">
        <w:rPr>
          <w:rFonts w:asciiTheme="minorHAnsi" w:hAnsiTheme="minorHAnsi" w:cstheme="minorHAnsi"/>
          <w:b/>
          <w:color w:val="2F5496" w:themeColor="accent5" w:themeShade="BF"/>
          <w:sz w:val="36"/>
          <w:szCs w:val="36"/>
        </w:rPr>
        <w:t>Common Briefing Note</w:t>
      </w:r>
    </w:p>
    <w:p w:rsidR="00CE3DF6" w:rsidRPr="00054B72" w:rsidRDefault="00CE3DF6" w:rsidP="006A13FA">
      <w:pPr>
        <w:rPr>
          <w:rFonts w:cstheme="minorHAnsi"/>
        </w:rPr>
      </w:pPr>
    </w:p>
    <w:p w:rsidR="00152629" w:rsidRPr="00054B72" w:rsidRDefault="00CE3DF6" w:rsidP="006A13FA">
      <w:pPr>
        <w:pStyle w:val="Heading1"/>
        <w:spacing w:before="0" w:after="200"/>
        <w:rPr>
          <w:rFonts w:asciiTheme="minorHAnsi" w:eastAsia="Times New Roman" w:hAnsiTheme="minorHAnsi" w:cstheme="minorHAnsi"/>
          <w:i/>
          <w:color w:val="auto"/>
          <w:sz w:val="24"/>
          <w:szCs w:val="24"/>
          <w:lang w:val="en-GB"/>
        </w:rPr>
      </w:pPr>
      <w:r w:rsidRPr="00054B72">
        <w:rPr>
          <w:rFonts w:asciiTheme="minorHAnsi" w:hAnsiTheme="minorHAnsi" w:cstheme="minorHAnsi"/>
          <w:b/>
          <w:color w:val="2F5496" w:themeColor="accent5" w:themeShade="BF"/>
          <w:sz w:val="24"/>
        </w:rPr>
        <w:t>Subject:</w:t>
      </w:r>
      <w:r w:rsidR="00152629" w:rsidRPr="00054B72">
        <w:rPr>
          <w:rFonts w:asciiTheme="minorHAnsi" w:hAnsiTheme="minorHAnsi" w:cstheme="minorHAnsi"/>
          <w:b/>
          <w:color w:val="2F5496" w:themeColor="accent5" w:themeShade="BF"/>
          <w:sz w:val="24"/>
        </w:rPr>
        <w:t xml:space="preserve">  </w:t>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7A710B" w:rsidRPr="00054B72">
        <w:rPr>
          <w:rFonts w:asciiTheme="minorHAnsi" w:eastAsia="Times New Roman" w:hAnsiTheme="minorHAnsi" w:cstheme="minorHAnsi"/>
          <w:i/>
          <w:color w:val="auto"/>
          <w:sz w:val="24"/>
          <w:szCs w:val="24"/>
          <w:lang w:val="en-GB"/>
        </w:rPr>
        <w:t xml:space="preserve"> </w:t>
      </w:r>
      <w:r w:rsidR="00D15EF3" w:rsidRPr="00054B72">
        <w:rPr>
          <w:rFonts w:asciiTheme="minorHAnsi" w:eastAsia="Times New Roman" w:hAnsiTheme="minorHAnsi" w:cstheme="minorHAnsi"/>
          <w:i/>
          <w:color w:val="auto"/>
          <w:sz w:val="24"/>
          <w:szCs w:val="24"/>
          <w:lang w:val="en-GB"/>
        </w:rPr>
        <w:t xml:space="preserve">Joint Consortium for School Health (JCSH) </w:t>
      </w:r>
      <w:r w:rsidR="00D90B70" w:rsidRPr="00054B72">
        <w:rPr>
          <w:rFonts w:asciiTheme="minorHAnsi" w:eastAsia="Times New Roman" w:hAnsiTheme="minorHAnsi" w:cstheme="minorHAnsi"/>
          <w:i/>
          <w:color w:val="auto"/>
          <w:sz w:val="24"/>
          <w:szCs w:val="24"/>
          <w:lang w:val="en-GB"/>
        </w:rPr>
        <w:t>2020-2021 Accomplishments</w:t>
      </w:r>
    </w:p>
    <w:p w:rsidR="007A710B" w:rsidRPr="00054B72" w:rsidRDefault="007A710B" w:rsidP="006A13FA">
      <w:pPr>
        <w:rPr>
          <w:rFonts w:cstheme="minorHAnsi"/>
          <w:lang w:val="en-GB"/>
        </w:rPr>
      </w:pPr>
    </w:p>
    <w:p w:rsidR="007A710B" w:rsidRPr="00054B72" w:rsidRDefault="007A710B" w:rsidP="006A13FA">
      <w:pPr>
        <w:widowControl w:val="0"/>
        <w:rPr>
          <w:rFonts w:cstheme="minorHAnsi"/>
          <w:b/>
          <w:sz w:val="24"/>
          <w:szCs w:val="24"/>
          <w:lang w:val="en-GB"/>
        </w:rPr>
      </w:pPr>
      <w:r w:rsidRPr="00054B72">
        <w:rPr>
          <w:rStyle w:val="Heading1Char"/>
          <w:rFonts w:asciiTheme="minorHAnsi" w:hAnsiTheme="minorHAnsi" w:cstheme="minorHAnsi"/>
          <w:b/>
          <w:color w:val="2F5496" w:themeColor="accent5" w:themeShade="BF"/>
          <w:sz w:val="24"/>
        </w:rPr>
        <w:t>Lead Jurisdiction</w:t>
      </w:r>
      <w:r w:rsidRPr="00054B72">
        <w:rPr>
          <w:rStyle w:val="Heading1Char"/>
          <w:rFonts w:asciiTheme="minorHAnsi" w:hAnsiTheme="minorHAnsi" w:cstheme="minorHAnsi"/>
          <w:b/>
          <w:color w:val="2F5496" w:themeColor="accent5" w:themeShade="BF"/>
          <w:sz w:val="22"/>
        </w:rPr>
        <w:t xml:space="preserve">: </w:t>
      </w:r>
      <w:r w:rsidRPr="00054B72">
        <w:rPr>
          <w:rFonts w:cstheme="minorHAnsi"/>
          <w:sz w:val="24"/>
          <w:szCs w:val="24"/>
          <w:lang w:val="en-GB"/>
        </w:rPr>
        <w:t xml:space="preserve">  </w:t>
      </w:r>
      <w:r w:rsidRPr="00054B72">
        <w:rPr>
          <w:rFonts w:cstheme="minorHAnsi"/>
          <w:sz w:val="24"/>
          <w:szCs w:val="24"/>
          <w:lang w:val="en-GB"/>
        </w:rPr>
        <w:tab/>
      </w:r>
      <w:r w:rsidRPr="00054B72">
        <w:rPr>
          <w:rFonts w:cstheme="minorHAnsi"/>
          <w:b/>
          <w:sz w:val="24"/>
          <w:szCs w:val="24"/>
          <w:lang w:val="en-GB"/>
        </w:rPr>
        <w:t>PRINCE EDWARD ISLAND</w:t>
      </w:r>
    </w:p>
    <w:p w:rsidR="00A9555E" w:rsidRPr="00054B72" w:rsidRDefault="00A9555E" w:rsidP="006A13FA">
      <w:pPr>
        <w:rPr>
          <w:rFonts w:cstheme="minorHAnsi"/>
          <w:b/>
          <w:color w:val="2F5496" w:themeColor="accent5" w:themeShade="BF"/>
          <w:sz w:val="24"/>
        </w:rPr>
      </w:pPr>
      <w:r w:rsidRPr="00054B72">
        <w:rPr>
          <w:rFonts w:cstheme="minorHAnsi"/>
          <w:b/>
          <w:color w:val="2F5496" w:themeColor="accent5" w:themeShade="BF"/>
          <w:sz w:val="24"/>
        </w:rPr>
        <w:t xml:space="preserve">Date:  </w:t>
      </w:r>
      <w:r w:rsidR="00D90B70" w:rsidRPr="00054B72">
        <w:rPr>
          <w:rFonts w:cstheme="minorHAnsi"/>
          <w:b/>
        </w:rPr>
        <w:t>August 9 2021</w:t>
      </w:r>
    </w:p>
    <w:p w:rsidR="00CE3DF6" w:rsidRPr="00054B72" w:rsidRDefault="00CE3DF6" w:rsidP="006A13FA">
      <w:pPr>
        <w:pStyle w:val="Heading1"/>
        <w:spacing w:before="0" w:after="200"/>
        <w:rPr>
          <w:rFonts w:asciiTheme="minorHAnsi" w:hAnsiTheme="minorHAnsi" w:cstheme="minorHAnsi"/>
          <w:b/>
          <w:color w:val="2F5496" w:themeColor="accent5" w:themeShade="BF"/>
          <w:sz w:val="24"/>
        </w:rPr>
      </w:pPr>
      <w:r w:rsidRPr="00054B72">
        <w:rPr>
          <w:rFonts w:asciiTheme="minorHAnsi" w:hAnsiTheme="minorHAnsi" w:cstheme="minorHAnsi"/>
          <w:b/>
          <w:color w:val="2F5496" w:themeColor="accent5" w:themeShade="BF"/>
          <w:sz w:val="24"/>
        </w:rPr>
        <w:t>_________________________</w:t>
      </w:r>
      <w:r w:rsidR="00152629" w:rsidRPr="00054B72">
        <w:rPr>
          <w:rFonts w:asciiTheme="minorHAnsi" w:hAnsiTheme="minorHAnsi" w:cstheme="minorHAnsi"/>
          <w:b/>
          <w:color w:val="2F5496" w:themeColor="accent5" w:themeShade="BF"/>
          <w:sz w:val="24"/>
        </w:rPr>
        <w:t>_______________________________________</w:t>
      </w:r>
      <w:r w:rsidRPr="00054B72">
        <w:rPr>
          <w:rFonts w:asciiTheme="minorHAnsi" w:hAnsiTheme="minorHAnsi" w:cstheme="minorHAnsi"/>
          <w:b/>
          <w:color w:val="2F5496" w:themeColor="accent5" w:themeShade="BF"/>
          <w:sz w:val="24"/>
        </w:rPr>
        <w:t>_</w:t>
      </w:r>
    </w:p>
    <w:p w:rsidR="00CE3DF6" w:rsidRPr="00054B72" w:rsidRDefault="00CE3DF6" w:rsidP="006A13FA">
      <w:pPr>
        <w:rPr>
          <w:rFonts w:cstheme="minorHAnsi"/>
        </w:rPr>
      </w:pPr>
    </w:p>
    <w:p w:rsidR="00CE3DF6" w:rsidRPr="00054B72" w:rsidRDefault="00CE3DF6" w:rsidP="006A13FA">
      <w:pPr>
        <w:pStyle w:val="Heading1"/>
        <w:spacing w:before="0" w:after="200"/>
        <w:rPr>
          <w:rFonts w:asciiTheme="minorHAnsi" w:hAnsiTheme="minorHAnsi" w:cstheme="minorHAnsi"/>
          <w:b/>
          <w:color w:val="2F5496" w:themeColor="accent5" w:themeShade="BF"/>
          <w:sz w:val="28"/>
        </w:rPr>
      </w:pPr>
      <w:r w:rsidRPr="00054B72">
        <w:rPr>
          <w:rFonts w:asciiTheme="minorHAnsi" w:hAnsiTheme="minorHAnsi" w:cstheme="minorHAnsi"/>
          <w:b/>
          <w:color w:val="2F5496" w:themeColor="accent5" w:themeShade="BF"/>
          <w:sz w:val="28"/>
        </w:rPr>
        <w:t>Decision(s) / Direction(s) Requested:</w:t>
      </w:r>
    </w:p>
    <w:p w:rsidR="00CE3DF6" w:rsidRPr="00054B72" w:rsidRDefault="00CE3DF6" w:rsidP="006A13FA">
      <w:pPr>
        <w:rPr>
          <w:rFonts w:cstheme="minorHAnsi"/>
        </w:rPr>
      </w:pPr>
    </w:p>
    <w:p w:rsidR="00CE3DF6" w:rsidRPr="00054B72" w:rsidRDefault="00CE3DF6" w:rsidP="006A13FA">
      <w:pPr>
        <w:rPr>
          <w:rFonts w:cstheme="minorHAnsi"/>
          <w:sz w:val="20"/>
        </w:rPr>
      </w:pPr>
      <w:r w:rsidRPr="00054B72">
        <w:rPr>
          <w:rFonts w:cstheme="minorHAnsi"/>
          <w:sz w:val="20"/>
        </w:rPr>
        <w:tab/>
      </w:r>
      <w:r w:rsidR="004958A6" w:rsidRPr="00054B72">
        <w:rPr>
          <w:rFonts w:cstheme="minorHAnsi"/>
          <w:b/>
        </w:rPr>
        <w:t xml:space="preserve">Decision </w:t>
      </w:r>
      <w:sdt>
        <w:sdtPr>
          <w:rPr>
            <w:rFonts w:cstheme="minorHAnsi"/>
            <w:b/>
          </w:rPr>
          <w:id w:val="1840581990"/>
          <w14:checkbox>
            <w14:checked w14:val="0"/>
            <w14:checkedState w14:val="2612" w14:font="MS Gothic"/>
            <w14:uncheckedState w14:val="2610" w14:font="MS Gothic"/>
          </w14:checkbox>
        </w:sdtPr>
        <w:sdtEndPr/>
        <w:sdtContent>
          <w:r w:rsidR="00D90B70" w:rsidRPr="00054B72">
            <w:rPr>
              <w:rFonts w:ascii="Segoe UI Symbol" w:eastAsia="MS Gothic" w:hAnsi="Segoe UI Symbol" w:cs="Segoe UI Symbol"/>
              <w:b/>
            </w:rPr>
            <w:t>☐</w:t>
          </w:r>
        </w:sdtContent>
      </w:sdt>
      <w:r w:rsidR="006D3C8E" w:rsidRPr="00054B72">
        <w:rPr>
          <w:rFonts w:cstheme="minorHAnsi"/>
          <w:b/>
        </w:rPr>
        <w:t xml:space="preserve">   </w:t>
      </w:r>
      <w:r w:rsidR="004958A6" w:rsidRPr="00054B72">
        <w:rPr>
          <w:rFonts w:cstheme="minorHAnsi"/>
          <w:b/>
        </w:rPr>
        <w:t xml:space="preserve">Discussion </w:t>
      </w:r>
      <w:sdt>
        <w:sdtPr>
          <w:rPr>
            <w:rFonts w:cstheme="minorHAnsi"/>
            <w:b/>
          </w:rPr>
          <w:id w:val="-99726946"/>
          <w14:checkbox>
            <w14:checked w14:val="0"/>
            <w14:checkedState w14:val="2612" w14:font="MS Gothic"/>
            <w14:uncheckedState w14:val="2610" w14:font="MS Gothic"/>
          </w14:checkbox>
        </w:sdtPr>
        <w:sdtEndPr/>
        <w:sdtContent>
          <w:r w:rsidR="006D3C8E" w:rsidRPr="00054B72">
            <w:rPr>
              <w:rFonts w:ascii="Segoe UI Symbol" w:eastAsia="MS Gothic" w:hAnsi="Segoe UI Symbol" w:cs="Segoe UI Symbol"/>
              <w:b/>
            </w:rPr>
            <w:t>☐</w:t>
          </w:r>
        </w:sdtContent>
      </w:sdt>
      <w:r w:rsidRPr="00054B72">
        <w:rPr>
          <w:rFonts w:cstheme="minorHAnsi"/>
          <w:b/>
        </w:rPr>
        <w:t xml:space="preserve">   Information</w:t>
      </w:r>
      <w:r w:rsidR="006D3C8E" w:rsidRPr="00054B72">
        <w:rPr>
          <w:rFonts w:cstheme="minorHAnsi"/>
          <w:b/>
        </w:rPr>
        <w:t xml:space="preserve"> </w:t>
      </w:r>
      <w:sdt>
        <w:sdtPr>
          <w:rPr>
            <w:rFonts w:cstheme="minorHAnsi"/>
            <w:b/>
          </w:rPr>
          <w:id w:val="2089191333"/>
          <w14:checkbox>
            <w14:checked w14:val="1"/>
            <w14:checkedState w14:val="2612" w14:font="MS Gothic"/>
            <w14:uncheckedState w14:val="2610" w14:font="MS Gothic"/>
          </w14:checkbox>
        </w:sdtPr>
        <w:sdtEndPr/>
        <w:sdtContent>
          <w:r w:rsidR="007A710B" w:rsidRPr="00054B72">
            <w:rPr>
              <w:rFonts w:ascii="Segoe UI Symbol" w:eastAsia="MS Gothic" w:hAnsi="Segoe UI Symbol" w:cs="Segoe UI Symbol"/>
              <w:b/>
            </w:rPr>
            <w:t>☒</w:t>
          </w:r>
        </w:sdtContent>
      </w:sdt>
    </w:p>
    <w:p w:rsidR="006D3C8E" w:rsidRPr="00054B72" w:rsidRDefault="006D3C8E" w:rsidP="006A13FA">
      <w:pPr>
        <w:pStyle w:val="Heading1"/>
        <w:spacing w:before="0" w:after="200"/>
        <w:rPr>
          <w:rFonts w:asciiTheme="minorHAnsi" w:hAnsiTheme="minorHAnsi" w:cstheme="minorHAnsi"/>
          <w:b/>
          <w:color w:val="1F3864" w:themeColor="accent5" w:themeShade="80"/>
        </w:rPr>
      </w:pPr>
      <w:r w:rsidRPr="00054B72">
        <w:rPr>
          <w:rFonts w:asciiTheme="minorHAnsi" w:hAnsiTheme="minorHAnsi" w:cstheme="minorHAnsi"/>
          <w:b/>
          <w:color w:val="1F3864" w:themeColor="accent5" w:themeShade="80"/>
        </w:rPr>
        <w:t>__________________________</w:t>
      </w:r>
      <w:r w:rsidR="00152629" w:rsidRPr="00054B72">
        <w:rPr>
          <w:rFonts w:asciiTheme="minorHAnsi" w:hAnsiTheme="minorHAnsi" w:cstheme="minorHAnsi"/>
          <w:b/>
          <w:color w:val="1F3864" w:themeColor="accent5" w:themeShade="80"/>
        </w:rPr>
        <w:t>__________________________</w:t>
      </w:r>
    </w:p>
    <w:p w:rsidR="006D3C8E" w:rsidRPr="00054B72" w:rsidRDefault="00C46F50" w:rsidP="006A13FA">
      <w:pPr>
        <w:rPr>
          <w:rFonts w:cstheme="minorHAnsi"/>
          <w:b/>
          <w:color w:val="2F5496" w:themeColor="accent5" w:themeShade="BF"/>
          <w:sz w:val="28"/>
        </w:rPr>
      </w:pPr>
      <w:r w:rsidRPr="00054B72">
        <w:rPr>
          <w:rFonts w:cstheme="minorHAnsi"/>
          <w:b/>
          <w:color w:val="2F5496" w:themeColor="accent5" w:themeShade="BF"/>
          <w:sz w:val="28"/>
        </w:rPr>
        <w:t>Background</w:t>
      </w:r>
    </w:p>
    <w:p w:rsidR="00D90B70" w:rsidRPr="00E44473" w:rsidRDefault="00D90B70" w:rsidP="00E44473">
      <w:pPr>
        <w:pStyle w:val="BodyText"/>
        <w:ind w:left="140" w:right="208"/>
        <w:rPr>
          <w:rFonts w:cstheme="minorHAnsi"/>
        </w:rPr>
      </w:pPr>
      <w:r w:rsidRPr="00054B72">
        <w:rPr>
          <w:rFonts w:cstheme="minorHAnsi"/>
        </w:rPr>
        <w:t>Established in 2005, the Pan-Canadian Joint Consortium for School Health (JCSH) is</w:t>
      </w:r>
      <w:r w:rsidRPr="00054B72">
        <w:rPr>
          <w:rFonts w:cstheme="minorHAnsi"/>
          <w:spacing w:val="-21"/>
        </w:rPr>
        <w:t xml:space="preserve"> </w:t>
      </w:r>
      <w:r w:rsidRPr="00054B72">
        <w:rPr>
          <w:rFonts w:cstheme="minorHAnsi"/>
        </w:rPr>
        <w:t xml:space="preserve">a </w:t>
      </w:r>
      <w:r w:rsidR="00CC70CA" w:rsidRPr="00054B72">
        <w:rPr>
          <w:rFonts w:cstheme="minorHAnsi"/>
        </w:rPr>
        <w:t xml:space="preserve">formal </w:t>
      </w:r>
      <w:r w:rsidRPr="00054B72">
        <w:rPr>
          <w:rFonts w:cstheme="minorHAnsi"/>
        </w:rPr>
        <w:t>partnership of federal, provincial</w:t>
      </w:r>
      <w:r w:rsidR="00CC70CA" w:rsidRPr="00054B72">
        <w:rPr>
          <w:rFonts w:cstheme="minorHAnsi"/>
        </w:rPr>
        <w:t>,</w:t>
      </w:r>
      <w:r w:rsidRPr="00054B72">
        <w:rPr>
          <w:rFonts w:cstheme="minorHAnsi"/>
        </w:rPr>
        <w:t xml:space="preserve"> and territorial governments working together to promote</w:t>
      </w:r>
      <w:r w:rsidRPr="00054B72">
        <w:rPr>
          <w:rFonts w:cstheme="minorHAnsi"/>
          <w:spacing w:val="-21"/>
        </w:rPr>
        <w:t xml:space="preserve"> </w:t>
      </w:r>
      <w:r w:rsidRPr="00054B72">
        <w:rPr>
          <w:rFonts w:cstheme="minorHAnsi"/>
        </w:rPr>
        <w:t>the health, well-being, and achievement of children and youth in the school setting.</w:t>
      </w:r>
      <w:r w:rsidRPr="00054B72">
        <w:rPr>
          <w:rFonts w:cstheme="minorHAnsi"/>
          <w:spacing w:val="-20"/>
        </w:rPr>
        <w:t xml:space="preserve"> </w:t>
      </w:r>
      <w:r w:rsidRPr="00054B72">
        <w:rPr>
          <w:rFonts w:cstheme="minorHAnsi"/>
        </w:rPr>
        <w:t>Recognizing that every province and territory has initiatives in place to foster healthy school</w:t>
      </w:r>
      <w:r w:rsidRPr="00054B72">
        <w:rPr>
          <w:rFonts w:cstheme="minorHAnsi"/>
          <w:spacing w:val="-27"/>
        </w:rPr>
        <w:t xml:space="preserve"> </w:t>
      </w:r>
      <w:r w:rsidRPr="00054B72">
        <w:rPr>
          <w:rFonts w:cstheme="minorHAnsi"/>
        </w:rPr>
        <w:t>environments,</w:t>
      </w:r>
      <w:r w:rsidRPr="00054B72">
        <w:rPr>
          <w:rFonts w:cstheme="minorHAnsi"/>
          <w:spacing w:val="-1"/>
        </w:rPr>
        <w:t xml:space="preserve"> </w:t>
      </w:r>
      <w:r w:rsidRPr="00054B72">
        <w:rPr>
          <w:rFonts w:cstheme="minorHAnsi"/>
        </w:rPr>
        <w:t>JCSH brings together key representatives of government departments responsible for</w:t>
      </w:r>
      <w:r w:rsidRPr="00054B72">
        <w:rPr>
          <w:rFonts w:cstheme="minorHAnsi"/>
          <w:spacing w:val="-31"/>
        </w:rPr>
        <w:t xml:space="preserve"> </w:t>
      </w:r>
      <w:r w:rsidRPr="00054B72">
        <w:rPr>
          <w:rFonts w:cstheme="minorHAnsi"/>
        </w:rPr>
        <w:t>health and education</w:t>
      </w:r>
      <w:r w:rsidRPr="00054B72">
        <w:rPr>
          <w:rFonts w:cstheme="minorHAnsi"/>
          <w:spacing w:val="-3"/>
        </w:rPr>
        <w:t xml:space="preserve"> </w:t>
      </w:r>
      <w:r w:rsidR="00E44473">
        <w:rPr>
          <w:rFonts w:cstheme="minorHAnsi"/>
        </w:rPr>
        <w:t>for the following purposes:</w:t>
      </w:r>
    </w:p>
    <w:p w:rsidR="00D90B70" w:rsidRPr="00054B72" w:rsidRDefault="00D90B70" w:rsidP="006A13FA">
      <w:pPr>
        <w:pStyle w:val="ListParagraph"/>
        <w:widowControl w:val="0"/>
        <w:numPr>
          <w:ilvl w:val="0"/>
          <w:numId w:val="11"/>
        </w:numPr>
        <w:tabs>
          <w:tab w:val="left" w:pos="501"/>
        </w:tabs>
        <w:spacing w:after="200" w:line="276" w:lineRule="auto"/>
        <w:ind w:right="420"/>
        <w:contextualSpacing w:val="0"/>
        <w:rPr>
          <w:rFonts w:asciiTheme="minorHAnsi" w:eastAsia="Book Antiqua" w:hAnsiTheme="minorHAnsi" w:cstheme="minorHAnsi"/>
          <w:sz w:val="22"/>
        </w:rPr>
      </w:pPr>
      <w:r w:rsidRPr="00054B72">
        <w:rPr>
          <w:rFonts w:asciiTheme="minorHAnsi" w:hAnsiTheme="minorHAnsi" w:cstheme="minorHAnsi"/>
          <w:sz w:val="22"/>
        </w:rPr>
        <w:t>Strengthen cooperation among ministries, agencies, departments and others in support</w:t>
      </w:r>
      <w:r w:rsidRPr="00054B72">
        <w:rPr>
          <w:rFonts w:asciiTheme="minorHAnsi" w:hAnsiTheme="minorHAnsi" w:cstheme="minorHAnsi"/>
          <w:spacing w:val="-20"/>
          <w:sz w:val="22"/>
        </w:rPr>
        <w:t xml:space="preserve"> </w:t>
      </w:r>
      <w:r w:rsidRPr="00054B72">
        <w:rPr>
          <w:rFonts w:asciiTheme="minorHAnsi" w:hAnsiTheme="minorHAnsi" w:cstheme="minorHAnsi"/>
          <w:sz w:val="22"/>
        </w:rPr>
        <w:t>of healthy</w:t>
      </w:r>
      <w:r w:rsidRPr="00054B72">
        <w:rPr>
          <w:rFonts w:asciiTheme="minorHAnsi" w:hAnsiTheme="minorHAnsi" w:cstheme="minorHAnsi"/>
          <w:spacing w:val="-1"/>
          <w:sz w:val="22"/>
        </w:rPr>
        <w:t xml:space="preserve"> </w:t>
      </w:r>
      <w:r w:rsidRPr="00054B72">
        <w:rPr>
          <w:rFonts w:asciiTheme="minorHAnsi" w:hAnsiTheme="minorHAnsi" w:cstheme="minorHAnsi"/>
          <w:sz w:val="22"/>
        </w:rPr>
        <w:t>schools</w:t>
      </w:r>
    </w:p>
    <w:p w:rsidR="00D90B70" w:rsidRPr="00054B72" w:rsidRDefault="00D90B70" w:rsidP="006A13FA">
      <w:pPr>
        <w:pStyle w:val="ListParagraph"/>
        <w:widowControl w:val="0"/>
        <w:numPr>
          <w:ilvl w:val="0"/>
          <w:numId w:val="11"/>
        </w:numPr>
        <w:tabs>
          <w:tab w:val="left" w:pos="501"/>
        </w:tabs>
        <w:spacing w:after="200" w:line="276" w:lineRule="auto"/>
        <w:ind w:right="213"/>
        <w:contextualSpacing w:val="0"/>
        <w:rPr>
          <w:rFonts w:asciiTheme="minorHAnsi" w:eastAsia="Book Antiqua" w:hAnsiTheme="minorHAnsi" w:cstheme="minorHAnsi"/>
          <w:sz w:val="22"/>
        </w:rPr>
      </w:pPr>
      <w:r w:rsidRPr="00054B72">
        <w:rPr>
          <w:rFonts w:asciiTheme="minorHAnsi" w:hAnsiTheme="minorHAnsi" w:cstheme="minorHAnsi"/>
          <w:sz w:val="22"/>
        </w:rPr>
        <w:t>Build the capacity of the health and education sectors to work together more effectively</w:t>
      </w:r>
      <w:r w:rsidRPr="00054B72">
        <w:rPr>
          <w:rFonts w:asciiTheme="minorHAnsi" w:hAnsiTheme="minorHAnsi" w:cstheme="minorHAnsi"/>
          <w:spacing w:val="-24"/>
          <w:sz w:val="22"/>
        </w:rPr>
        <w:t xml:space="preserve"> </w:t>
      </w:r>
      <w:r w:rsidRPr="00054B72">
        <w:rPr>
          <w:rFonts w:asciiTheme="minorHAnsi" w:hAnsiTheme="minorHAnsi" w:cstheme="minorHAnsi"/>
          <w:sz w:val="22"/>
        </w:rPr>
        <w:t>and efficiently</w:t>
      </w:r>
    </w:p>
    <w:p w:rsidR="00D90B70" w:rsidRPr="00054B72" w:rsidRDefault="00D90B70" w:rsidP="006A13FA">
      <w:pPr>
        <w:pStyle w:val="ListParagraph"/>
        <w:widowControl w:val="0"/>
        <w:numPr>
          <w:ilvl w:val="0"/>
          <w:numId w:val="11"/>
        </w:numPr>
        <w:tabs>
          <w:tab w:val="left" w:pos="501"/>
        </w:tabs>
        <w:spacing w:after="200" w:line="276" w:lineRule="auto"/>
        <w:ind w:right="664"/>
        <w:contextualSpacing w:val="0"/>
        <w:rPr>
          <w:rFonts w:asciiTheme="minorHAnsi" w:eastAsia="Book Antiqua" w:hAnsiTheme="minorHAnsi" w:cstheme="minorHAnsi"/>
          <w:sz w:val="22"/>
        </w:rPr>
      </w:pPr>
      <w:r w:rsidRPr="00054B72">
        <w:rPr>
          <w:rFonts w:asciiTheme="minorHAnsi" w:hAnsiTheme="minorHAnsi" w:cstheme="minorHAnsi"/>
          <w:sz w:val="22"/>
        </w:rPr>
        <w:t>Promote understanding of, and support for, the concept and benefits of</w:t>
      </w:r>
      <w:r w:rsidRPr="00054B72">
        <w:rPr>
          <w:rFonts w:asciiTheme="minorHAnsi" w:hAnsiTheme="minorHAnsi" w:cstheme="minorHAnsi"/>
          <w:spacing w:val="-22"/>
          <w:sz w:val="22"/>
        </w:rPr>
        <w:t xml:space="preserve"> </w:t>
      </w:r>
      <w:r w:rsidRPr="00054B72">
        <w:rPr>
          <w:rFonts w:asciiTheme="minorHAnsi" w:hAnsiTheme="minorHAnsi" w:cstheme="minorHAnsi"/>
          <w:sz w:val="22"/>
        </w:rPr>
        <w:t>comprehensive school health</w:t>
      </w:r>
      <w:r w:rsidRPr="00054B72">
        <w:rPr>
          <w:rFonts w:asciiTheme="minorHAnsi" w:hAnsiTheme="minorHAnsi" w:cstheme="minorHAnsi"/>
          <w:spacing w:val="-3"/>
          <w:sz w:val="22"/>
        </w:rPr>
        <w:t xml:space="preserve"> </w:t>
      </w:r>
      <w:r w:rsidRPr="00054B72">
        <w:rPr>
          <w:rFonts w:asciiTheme="minorHAnsi" w:hAnsiTheme="minorHAnsi" w:cstheme="minorHAnsi"/>
          <w:sz w:val="22"/>
        </w:rPr>
        <w:t>initiatives</w:t>
      </w:r>
    </w:p>
    <w:p w:rsidR="009B0F67" w:rsidRPr="00054B72" w:rsidRDefault="009B0F67" w:rsidP="006A13FA">
      <w:pPr>
        <w:pStyle w:val="BriefingNotes"/>
        <w:spacing w:after="200" w:line="276" w:lineRule="auto"/>
        <w:ind w:left="720"/>
        <w:rPr>
          <w:rFonts w:asciiTheme="minorHAnsi" w:hAnsiTheme="minorHAnsi" w:cstheme="minorHAnsi"/>
          <w:szCs w:val="24"/>
          <w:lang w:val="en-US"/>
        </w:rPr>
      </w:pPr>
    </w:p>
    <w:p w:rsidR="009B0F67" w:rsidRPr="00054B72" w:rsidRDefault="00D90B70" w:rsidP="00054B72">
      <w:pPr>
        <w:pStyle w:val="BodyText"/>
        <w:spacing w:after="200"/>
        <w:ind w:left="140" w:right="642"/>
        <w:jc w:val="both"/>
        <w:rPr>
          <w:rFonts w:cstheme="minorHAnsi"/>
          <w:szCs w:val="24"/>
        </w:rPr>
      </w:pPr>
      <w:r w:rsidRPr="00054B72">
        <w:rPr>
          <w:rFonts w:cstheme="minorHAnsi"/>
        </w:rPr>
        <w:lastRenderedPageBreak/>
        <w:t>In 2020, the Provincial and Territorial Ministers of Education and Provincial and</w:t>
      </w:r>
      <w:r w:rsidRPr="00054B72">
        <w:rPr>
          <w:rFonts w:cstheme="minorHAnsi"/>
          <w:spacing w:val="-18"/>
        </w:rPr>
        <w:t xml:space="preserve"> </w:t>
      </w:r>
      <w:r w:rsidRPr="00054B72">
        <w:rPr>
          <w:rFonts w:cstheme="minorHAnsi"/>
        </w:rPr>
        <w:t>Territorial Ministers responsible for Health and/or Wellness committed to the current five-year</w:t>
      </w:r>
      <w:r w:rsidRPr="00054B72">
        <w:rPr>
          <w:rFonts w:cstheme="minorHAnsi"/>
          <w:spacing w:val="-19"/>
        </w:rPr>
        <w:t xml:space="preserve"> </w:t>
      </w:r>
      <w:r w:rsidRPr="00054B72">
        <w:rPr>
          <w:rFonts w:cstheme="minorHAnsi"/>
        </w:rPr>
        <w:t>JCSH mandate</w:t>
      </w:r>
      <w:r w:rsidRPr="00054B72">
        <w:rPr>
          <w:rFonts w:cstheme="minorHAnsi"/>
          <w:spacing w:val="-2"/>
        </w:rPr>
        <w:t xml:space="preserve"> </w:t>
      </w:r>
      <w:r w:rsidRPr="00054B72">
        <w:rPr>
          <w:rFonts w:cstheme="minorHAnsi"/>
        </w:rPr>
        <w:t>(2020-2025).</w:t>
      </w:r>
    </w:p>
    <w:p w:rsidR="007A710B" w:rsidRPr="00054B72" w:rsidRDefault="00CC70CA" w:rsidP="006A13FA">
      <w:pPr>
        <w:rPr>
          <w:rFonts w:cstheme="minorHAnsi"/>
          <w:b/>
          <w:color w:val="2F5496" w:themeColor="accent5" w:themeShade="BF"/>
          <w:sz w:val="28"/>
        </w:rPr>
      </w:pPr>
      <w:r w:rsidRPr="00054B72">
        <w:rPr>
          <w:rFonts w:cstheme="minorHAnsi"/>
          <w:b/>
          <w:color w:val="2F5496" w:themeColor="accent5" w:themeShade="BF"/>
          <w:sz w:val="28"/>
        </w:rPr>
        <w:t>JCSH Priorities</w:t>
      </w:r>
      <w:r w:rsidR="00C46F50" w:rsidRPr="00054B72">
        <w:rPr>
          <w:rFonts w:cstheme="minorHAnsi"/>
          <w:b/>
          <w:color w:val="2F5496" w:themeColor="accent5" w:themeShade="BF"/>
          <w:sz w:val="28"/>
        </w:rPr>
        <w:t xml:space="preserve"> 2020-2025</w:t>
      </w:r>
    </w:p>
    <w:p w:rsidR="00C46F50" w:rsidRPr="00054B72" w:rsidRDefault="00CC70CA" w:rsidP="006A13FA">
      <w:pPr>
        <w:rPr>
          <w:rFonts w:cstheme="minorHAnsi"/>
        </w:rPr>
      </w:pPr>
      <w:r w:rsidRPr="00054B72">
        <w:rPr>
          <w:rFonts w:cstheme="minorHAnsi"/>
        </w:rPr>
        <w:t xml:space="preserve">JCSH commenced the current mandate (all JCSH mandates are five-year terms) with three overarching priorities: </w:t>
      </w:r>
    </w:p>
    <w:p w:rsidR="00C46F50" w:rsidRPr="00054B72" w:rsidRDefault="00C46F50" w:rsidP="006A13FA">
      <w:pPr>
        <w:pStyle w:val="ListParagraph"/>
        <w:numPr>
          <w:ilvl w:val="0"/>
          <w:numId w:val="12"/>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rPr>
        <w:t>Mental Well-Being, including social-emotional learning, resiliency, anxiety, protective factors and disruptive behaviours</w:t>
      </w:r>
    </w:p>
    <w:p w:rsidR="00C46F50" w:rsidRPr="00054B72" w:rsidRDefault="00C46F50" w:rsidP="006A13FA">
      <w:pPr>
        <w:pStyle w:val="ListParagraph"/>
        <w:numPr>
          <w:ilvl w:val="0"/>
          <w:numId w:val="12"/>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rPr>
        <w:t>Problematic Substance Use, with a strong initial focus on vaping</w:t>
      </w:r>
    </w:p>
    <w:p w:rsidR="00CC70CA" w:rsidRPr="00054B72" w:rsidRDefault="00C46F50" w:rsidP="006A13FA">
      <w:pPr>
        <w:pStyle w:val="ListParagraph"/>
        <w:numPr>
          <w:ilvl w:val="0"/>
          <w:numId w:val="12"/>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rPr>
        <w:t>School Food Environment, including the alignment of healthy eating school food policies and priorities through the comprehensive school health approach</w:t>
      </w:r>
    </w:p>
    <w:p w:rsidR="00864D3D" w:rsidRPr="00864D3D" w:rsidRDefault="00864D3D" w:rsidP="00864D3D">
      <w:pPr>
        <w:rPr>
          <w:rFonts w:cstheme="minorHAnsi"/>
        </w:rPr>
      </w:pPr>
      <w:r w:rsidRPr="00864D3D">
        <w:rPr>
          <w:rFonts w:cstheme="minorHAnsi"/>
        </w:rPr>
        <w:t xml:space="preserve">The COVID-19 pandemic resulted in massive lockdowns and school closures beginning in March 2020, with repercussions continuing through 2021 in all communities. </w:t>
      </w:r>
    </w:p>
    <w:p w:rsidR="00864D3D" w:rsidRPr="00864D3D" w:rsidRDefault="00864D3D" w:rsidP="00864D3D">
      <w:pPr>
        <w:rPr>
          <w:rFonts w:cstheme="minorHAnsi"/>
        </w:rPr>
      </w:pPr>
      <w:r w:rsidRPr="00864D3D">
        <w:rPr>
          <w:rFonts w:cstheme="minorHAnsi"/>
        </w:rPr>
        <w:t>In Canada, JCSH added a fourth priority: COVID-19 Support.</w:t>
      </w:r>
    </w:p>
    <w:p w:rsidR="00864D3D" w:rsidRDefault="00864D3D" w:rsidP="00864D3D">
      <w:pPr>
        <w:rPr>
          <w:rFonts w:cstheme="minorHAnsi"/>
        </w:rPr>
      </w:pPr>
      <w:r w:rsidRPr="00864D3D">
        <w:rPr>
          <w:rFonts w:cstheme="minorHAnsi"/>
        </w:rPr>
        <w:t>In the months since, JCSH has constantly monitored its responses and activities to best support its member provinces and territories and the Health/Wellness and Education ministries. Mental well-being, problematic substance use, and school food environment have grown in significance; at the same time, attention has been given to ways of addressing physical activity needs/sedentary behaviours, digital media, and student relationships with peers, educators, and families.</w:t>
      </w:r>
    </w:p>
    <w:p w:rsidR="00CF394D" w:rsidRPr="00054B72" w:rsidRDefault="00654C7F" w:rsidP="00864D3D">
      <w:pPr>
        <w:rPr>
          <w:rFonts w:cstheme="minorHAnsi"/>
          <w:b/>
          <w:color w:val="2F5496" w:themeColor="accent5" w:themeShade="BF"/>
          <w:sz w:val="28"/>
        </w:rPr>
      </w:pPr>
      <w:r w:rsidRPr="00054B72">
        <w:rPr>
          <w:rFonts w:cstheme="minorHAnsi"/>
          <w:b/>
          <w:color w:val="2F5496" w:themeColor="accent5" w:themeShade="BF"/>
          <w:sz w:val="28"/>
        </w:rPr>
        <w:t>JCSH Accomplishments 2020-2021</w:t>
      </w:r>
    </w:p>
    <w:p w:rsidR="00AB67FD" w:rsidRPr="00054B72" w:rsidRDefault="00654C7F" w:rsidP="00795B24">
      <w:pPr>
        <w:pStyle w:val="ListParagraph"/>
        <w:numPr>
          <w:ilvl w:val="0"/>
          <w:numId w:val="5"/>
        </w:numPr>
        <w:spacing w:after="200" w:line="276" w:lineRule="auto"/>
        <w:contextualSpacing w:val="0"/>
        <w:rPr>
          <w:rFonts w:asciiTheme="minorHAnsi" w:hAnsiTheme="minorHAnsi" w:cstheme="minorHAnsi"/>
          <w:sz w:val="24"/>
        </w:rPr>
      </w:pPr>
      <w:r w:rsidRPr="00054B72">
        <w:rPr>
          <w:rFonts w:asciiTheme="minorHAnsi" w:hAnsiTheme="minorHAnsi" w:cstheme="minorHAnsi"/>
          <w:sz w:val="22"/>
        </w:rPr>
        <w:t>In addition to representatives from Education and Health Ministries in 12 of 13 and funding and advice from the federal government through Public Health Agency of Canada, the Council of Ministers of Education, Canada (CMEC) began observer status with JCSH.</w:t>
      </w:r>
    </w:p>
    <w:p w:rsidR="00AB67FD" w:rsidRPr="00054B72" w:rsidRDefault="00654C7F" w:rsidP="006A13FA">
      <w:pPr>
        <w:numPr>
          <w:ilvl w:val="0"/>
          <w:numId w:val="5"/>
        </w:numPr>
        <w:rPr>
          <w:rFonts w:eastAsia="Times New Roman" w:cstheme="minorHAnsi"/>
          <w:sz w:val="24"/>
        </w:rPr>
      </w:pPr>
      <w:r w:rsidRPr="00054B72">
        <w:rPr>
          <w:rFonts w:eastAsia="Arial" w:cstheme="minorHAnsi"/>
          <w:lang w:val="en-CA"/>
        </w:rPr>
        <w:t xml:space="preserve">JCSH began new initiatives in response to the problematic substance use priority. The first phase is underway: </w:t>
      </w:r>
      <w:r w:rsidR="005341E2" w:rsidRPr="00054B72">
        <w:rPr>
          <w:rFonts w:eastAsia="Arial" w:cstheme="minorHAnsi"/>
          <w:lang w:val="en-CA"/>
        </w:rPr>
        <w:t xml:space="preserve">the Substance Use Prevention/Harm Reduction Task Group has laid the framework for </w:t>
      </w:r>
      <w:r w:rsidRPr="00054B72">
        <w:rPr>
          <w:rFonts w:eastAsia="Arial" w:cstheme="minorHAnsi"/>
          <w:lang w:val="en-CA"/>
        </w:rPr>
        <w:t>development of a set of multi-media assets</w:t>
      </w:r>
      <w:r w:rsidR="005341E2" w:rsidRPr="00054B72">
        <w:rPr>
          <w:rFonts w:eastAsia="Arial" w:cstheme="minorHAnsi"/>
          <w:lang w:val="en-CA"/>
        </w:rPr>
        <w:t xml:space="preserve"> on </w:t>
      </w:r>
      <w:r w:rsidR="005341E2" w:rsidRPr="00054B72">
        <w:rPr>
          <w:rFonts w:eastAsia="Arial" w:cstheme="minorHAnsi"/>
        </w:rPr>
        <w:t>Substance Use Prevention And Harm Reduction In Canadian Youth Grades 6-12: A Positive Youth Development Approach.</w:t>
      </w:r>
    </w:p>
    <w:p w:rsidR="006A13FA" w:rsidRPr="00054B72" w:rsidRDefault="005341E2" w:rsidP="006A13FA">
      <w:pPr>
        <w:numPr>
          <w:ilvl w:val="0"/>
          <w:numId w:val="5"/>
        </w:numPr>
        <w:rPr>
          <w:rFonts w:eastAsia="Times New Roman" w:cstheme="minorHAnsi"/>
          <w:szCs w:val="24"/>
        </w:rPr>
      </w:pPr>
      <w:r w:rsidRPr="00054B72">
        <w:rPr>
          <w:rFonts w:eastAsia="Times New Roman" w:cstheme="minorHAnsi"/>
          <w:szCs w:val="24"/>
        </w:rPr>
        <w:t>Recognizing the significant contribution to JCSH priorities through the longstanding, evidence-based core resource, the Healthy School Planner Task Group has developed the criteria for Phase One of its redesign and issued the first Requests for Proposals. This will be a substantial communication for all of JCSH work:</w:t>
      </w:r>
      <w:r w:rsidR="006A13FA" w:rsidRPr="00054B72">
        <w:rPr>
          <w:rFonts w:eastAsia="Times New Roman" w:cstheme="minorHAnsi"/>
          <w:szCs w:val="24"/>
        </w:rPr>
        <w:t xml:space="preserve"> Standards and Indicators / Wise Practices for Comprehensive School Health / Health Promoting Schools in Canada.</w:t>
      </w:r>
    </w:p>
    <w:p w:rsidR="006A13FA" w:rsidRPr="00054B72" w:rsidRDefault="006A13FA" w:rsidP="00213A28">
      <w:pPr>
        <w:pStyle w:val="ListParagraph"/>
        <w:numPr>
          <w:ilvl w:val="0"/>
          <w:numId w:val="5"/>
        </w:numPr>
        <w:spacing w:after="200" w:line="276" w:lineRule="auto"/>
        <w:contextualSpacing w:val="0"/>
        <w:rPr>
          <w:rFonts w:asciiTheme="minorHAnsi" w:hAnsiTheme="minorHAnsi" w:cstheme="minorHAnsi"/>
          <w:sz w:val="22"/>
          <w:szCs w:val="24"/>
        </w:rPr>
      </w:pPr>
      <w:r w:rsidRPr="00054B72">
        <w:rPr>
          <w:rFonts w:asciiTheme="minorHAnsi" w:hAnsiTheme="minorHAnsi" w:cstheme="minorHAnsi"/>
          <w:sz w:val="22"/>
          <w:szCs w:val="24"/>
        </w:rPr>
        <w:lastRenderedPageBreak/>
        <w:t>To support the 2021-2022 survey round of the Canadian Health Behaviour in School-aged Children study, JCSH brought together a Research Advisory Committee comprising members of both the Management Committee and the School Health Coordinators’ Committee in every one of the 12 member provinces and territories with leadership from the Public Health Agency of Canada.</w:t>
      </w:r>
    </w:p>
    <w:p w:rsidR="006A13FA" w:rsidRPr="00054B72" w:rsidRDefault="006A13FA" w:rsidP="006A13FA">
      <w:pPr>
        <w:pStyle w:val="ListParagraph"/>
        <w:numPr>
          <w:ilvl w:val="0"/>
          <w:numId w:val="13"/>
        </w:numPr>
        <w:spacing w:after="200" w:line="276" w:lineRule="auto"/>
        <w:contextualSpacing w:val="0"/>
        <w:rPr>
          <w:rFonts w:asciiTheme="minorHAnsi" w:hAnsiTheme="minorHAnsi" w:cstheme="minorHAnsi"/>
          <w:sz w:val="22"/>
          <w:szCs w:val="24"/>
        </w:rPr>
      </w:pPr>
      <w:r w:rsidRPr="00054B72">
        <w:rPr>
          <w:rFonts w:asciiTheme="minorHAnsi" w:hAnsiTheme="minorHAnsi" w:cstheme="minorHAnsi"/>
          <w:sz w:val="22"/>
          <w:szCs w:val="24"/>
        </w:rPr>
        <w:t xml:space="preserve">JCSH participated on an expert panel developed by the Sedentary Behaviour Research Network (SBRN) led by Dr. Mark Tremblay of the Children’s Hospital of Eastern Ontario (CHEO) and an international team of health researchers. The results of this work has led to the development of </w:t>
      </w:r>
      <w:r w:rsidR="00AA1EA6" w:rsidRPr="00054B72">
        <w:rPr>
          <w:rFonts w:asciiTheme="minorHAnsi" w:hAnsiTheme="minorHAnsi" w:cstheme="minorHAnsi"/>
          <w:sz w:val="22"/>
          <w:szCs w:val="24"/>
        </w:rPr>
        <w:t xml:space="preserve">a </w:t>
      </w:r>
      <w:r w:rsidRPr="00054B72">
        <w:rPr>
          <w:rFonts w:asciiTheme="minorHAnsi" w:hAnsiTheme="minorHAnsi" w:cstheme="minorHAnsi"/>
          <w:sz w:val="22"/>
          <w:szCs w:val="24"/>
        </w:rPr>
        <w:t xml:space="preserve">School-Related Sedentary Behaviour Systematic Review and, from this, </w:t>
      </w:r>
      <w:r w:rsidR="00AA1EA6" w:rsidRPr="00054B72">
        <w:rPr>
          <w:rFonts w:asciiTheme="minorHAnsi" w:hAnsiTheme="minorHAnsi" w:cstheme="minorHAnsi"/>
          <w:sz w:val="22"/>
          <w:szCs w:val="24"/>
        </w:rPr>
        <w:t>School-Related Sedentary Behaviour Recommendations</w:t>
      </w:r>
      <w:r w:rsidRPr="00054B72">
        <w:rPr>
          <w:rFonts w:asciiTheme="minorHAnsi" w:hAnsiTheme="minorHAnsi" w:cstheme="minorHAnsi"/>
          <w:sz w:val="22"/>
          <w:szCs w:val="24"/>
        </w:rPr>
        <w:t xml:space="preserve"> i</w:t>
      </w:r>
      <w:r w:rsidR="00AA1EA6" w:rsidRPr="00054B72">
        <w:rPr>
          <w:rFonts w:asciiTheme="minorHAnsi" w:hAnsiTheme="minorHAnsi" w:cstheme="minorHAnsi"/>
          <w:sz w:val="22"/>
          <w:szCs w:val="24"/>
        </w:rPr>
        <w:t>n</w:t>
      </w:r>
      <w:r w:rsidRPr="00054B72">
        <w:rPr>
          <w:rFonts w:asciiTheme="minorHAnsi" w:hAnsiTheme="minorHAnsi" w:cstheme="minorHAnsi"/>
          <w:sz w:val="22"/>
          <w:szCs w:val="24"/>
        </w:rPr>
        <w:t xml:space="preserve"> students (K-12) during school and school-related activities (such as homework).</w:t>
      </w:r>
    </w:p>
    <w:p w:rsidR="006A13FA" w:rsidRPr="00054B72" w:rsidRDefault="006A13FA" w:rsidP="006A13FA">
      <w:pPr>
        <w:pStyle w:val="ListParagraph"/>
        <w:numPr>
          <w:ilvl w:val="0"/>
          <w:numId w:val="13"/>
        </w:numPr>
        <w:spacing w:after="200" w:line="276" w:lineRule="auto"/>
        <w:contextualSpacing w:val="0"/>
        <w:rPr>
          <w:rFonts w:asciiTheme="minorHAnsi" w:hAnsiTheme="minorHAnsi" w:cstheme="minorHAnsi"/>
          <w:sz w:val="22"/>
          <w:szCs w:val="24"/>
        </w:rPr>
      </w:pPr>
      <w:r w:rsidRPr="00054B72">
        <w:rPr>
          <w:rFonts w:asciiTheme="minorHAnsi" w:hAnsiTheme="minorHAnsi" w:cstheme="minorHAnsi"/>
          <w:sz w:val="22"/>
          <w:szCs w:val="24"/>
        </w:rPr>
        <w:t xml:space="preserve">Environmental scans in 2020-2021 developed by JCSH included initial and/or updates on the following issues: </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Bullying Prevention and Cyber-Safety</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Cannabis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Student Injury Prevention</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School-based Mental Health Plans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Return-to-School for Students with Prevalent Medical Conditions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Sexual Violence / Misconduct in Schools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School-based Responses to Vaping</w:t>
      </w:r>
    </w:p>
    <w:p w:rsidR="00AA1EA6" w:rsidRPr="00054B72" w:rsidRDefault="00AA1EA6" w:rsidP="00AA1EA6">
      <w:pPr>
        <w:pStyle w:val="ListParagraph"/>
        <w:numPr>
          <w:ilvl w:val="0"/>
          <w:numId w:val="11"/>
        </w:numPr>
        <w:spacing w:after="200" w:line="276" w:lineRule="auto"/>
        <w:contextualSpacing w:val="0"/>
        <w:rPr>
          <w:rFonts w:asciiTheme="minorHAnsi" w:hAnsiTheme="minorHAnsi" w:cstheme="minorHAnsi"/>
          <w:sz w:val="22"/>
          <w:szCs w:val="22"/>
          <w:lang w:val="en-CA"/>
        </w:rPr>
      </w:pPr>
      <w:r w:rsidRPr="00054B72">
        <w:rPr>
          <w:rFonts w:asciiTheme="minorHAnsi" w:hAnsiTheme="minorHAnsi" w:cstheme="minorHAnsi"/>
          <w:sz w:val="22"/>
          <w:szCs w:val="22"/>
          <w:lang w:val="en-CA"/>
        </w:rPr>
        <w:t xml:space="preserve">A webinar series has been added to the School Health Coordinators’ Committee regular meetings; every second of the monthly meetings is devoted to having two one-hour presentations on a variety of topics. Those held in 2020-2021 are as follows: </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Pan-Canadian Supports for K-12 Workplace Wellbeing</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Planet Youth and the Icelandic Model</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Nurturing SEL for policy makers, principals and teachers (preparing for system change)</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An Update on the Health Behaviour in School-aged Children survey</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Canada’s Food Guide: Update on Initiatives from Health Canada</w:t>
      </w:r>
    </w:p>
    <w:p w:rsidR="00495E1F"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lang w:val="en-CA"/>
        </w:rPr>
        <w:t>Human Trafficking: Risks to Canadian Youth (from Public Safety Canada)</w:t>
      </w:r>
    </w:p>
    <w:p w:rsidR="00C30403" w:rsidRPr="00054B72" w:rsidRDefault="00AA1EA6" w:rsidP="006A13FA">
      <w:pPr>
        <w:rPr>
          <w:rFonts w:cstheme="minorHAnsi"/>
          <w:bCs/>
          <w:lang w:val="en-CA"/>
        </w:rPr>
      </w:pPr>
      <w:r w:rsidRPr="00054B72">
        <w:rPr>
          <w:rFonts w:cstheme="minorHAnsi"/>
          <w:b/>
          <w:color w:val="2F5496" w:themeColor="accent5" w:themeShade="BF"/>
          <w:sz w:val="28"/>
        </w:rPr>
        <w:lastRenderedPageBreak/>
        <w:t>Next Steps</w:t>
      </w:r>
    </w:p>
    <w:p w:rsidR="008C5ABC" w:rsidRPr="00054B72" w:rsidRDefault="008C5ABC" w:rsidP="00054B72">
      <w:pPr>
        <w:rPr>
          <w:rFonts w:cstheme="minorHAnsi"/>
          <w:szCs w:val="24"/>
        </w:rPr>
      </w:pPr>
      <w:r w:rsidRPr="00054B72">
        <w:rPr>
          <w:rFonts w:cstheme="minorHAnsi"/>
          <w:lang w:val="en-CA"/>
        </w:rPr>
        <w:t xml:space="preserve">The </w:t>
      </w:r>
      <w:r w:rsidR="00054B72" w:rsidRPr="00054B72">
        <w:rPr>
          <w:rFonts w:cstheme="minorHAnsi"/>
          <w:lang w:val="en-CA"/>
        </w:rPr>
        <w:t>JCSH 2021-2022 a</w:t>
      </w:r>
      <w:r w:rsidR="00AA1EA6" w:rsidRPr="00054B72">
        <w:rPr>
          <w:rFonts w:cstheme="minorHAnsi"/>
          <w:lang w:val="en-CA"/>
        </w:rPr>
        <w:t xml:space="preserve">nnual </w:t>
      </w:r>
      <w:r w:rsidR="00054B72" w:rsidRPr="00054B72">
        <w:rPr>
          <w:rFonts w:cstheme="minorHAnsi"/>
          <w:lang w:val="en-CA"/>
        </w:rPr>
        <w:t>w</w:t>
      </w:r>
      <w:r w:rsidR="00AA1EA6" w:rsidRPr="00054B72">
        <w:rPr>
          <w:rFonts w:cstheme="minorHAnsi"/>
          <w:lang w:val="en-CA"/>
        </w:rPr>
        <w:t xml:space="preserve">ork </w:t>
      </w:r>
      <w:r w:rsidR="00054B72" w:rsidRPr="00054B72">
        <w:rPr>
          <w:rFonts w:cstheme="minorHAnsi"/>
          <w:lang w:val="en-CA"/>
        </w:rPr>
        <w:t>p</w:t>
      </w:r>
      <w:r w:rsidR="00AA1EA6" w:rsidRPr="00054B72">
        <w:rPr>
          <w:rFonts w:cstheme="minorHAnsi"/>
          <w:lang w:val="en-CA"/>
        </w:rPr>
        <w:t>lan will continue to focus on priorities: Mental Well-Being, Preventing Substance Abuse, School Food</w:t>
      </w:r>
      <w:r w:rsidR="00E73FB5">
        <w:rPr>
          <w:rFonts w:cstheme="minorHAnsi"/>
          <w:lang w:val="en-CA"/>
        </w:rPr>
        <w:t xml:space="preserve"> Environment</w:t>
      </w:r>
      <w:bookmarkStart w:id="0" w:name="_GoBack"/>
      <w:bookmarkEnd w:id="0"/>
      <w:r w:rsidR="00AA1EA6" w:rsidRPr="00054B72">
        <w:rPr>
          <w:rFonts w:cstheme="minorHAnsi"/>
          <w:lang w:val="en-CA"/>
        </w:rPr>
        <w:t xml:space="preserve">, COVID-19 Support. JCSH will approach this work with an </w:t>
      </w:r>
      <w:r w:rsidR="00054B72" w:rsidRPr="00054B72">
        <w:rPr>
          <w:rFonts w:cstheme="minorHAnsi"/>
        </w:rPr>
        <w:t>Equity Perspectives lens: ethno-racial, Indigenous, linguistic and cultural diversity of student populations (including newcomers), youth identifying cognitive and physical exceptionalities, LGBTQ+ youth</w:t>
      </w:r>
      <w:r w:rsidR="00AA1EA6" w:rsidRPr="00054B72">
        <w:rPr>
          <w:rFonts w:cstheme="minorHAnsi"/>
          <w:lang w:val="en-CA"/>
        </w:rPr>
        <w:t>, respecting diversity</w:t>
      </w:r>
      <w:r w:rsidR="00054B72" w:rsidRPr="00054B72">
        <w:rPr>
          <w:rFonts w:cstheme="minorHAnsi"/>
          <w:lang w:val="en-CA"/>
        </w:rPr>
        <w:t xml:space="preserve">. </w:t>
      </w:r>
      <w:r w:rsidR="00054B72" w:rsidRPr="00054B72">
        <w:rPr>
          <w:rFonts w:cstheme="minorHAnsi"/>
        </w:rPr>
        <w:t>Assets and protective factors of students and school communities are essential elements of JCSH initiatives: Culture, family, community, social connections. Comprehensive School Health is the foundational framework through which initiatives are developed.</w:t>
      </w:r>
    </w:p>
    <w:sectPr w:rsidR="008C5ABC" w:rsidRPr="00054B72" w:rsidSect="009648BC">
      <w:pgSz w:w="12240" w:h="15840" w:code="1"/>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CC" w:rsidRDefault="00F657CC" w:rsidP="00495E1F">
      <w:pPr>
        <w:spacing w:after="0" w:line="240" w:lineRule="auto"/>
      </w:pPr>
      <w:r>
        <w:separator/>
      </w:r>
    </w:p>
  </w:endnote>
  <w:endnote w:type="continuationSeparator" w:id="0">
    <w:p w:rsidR="00F657CC" w:rsidRDefault="00F657CC" w:rsidP="0049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CC" w:rsidRDefault="00F657CC" w:rsidP="00495E1F">
      <w:pPr>
        <w:spacing w:after="0" w:line="240" w:lineRule="auto"/>
      </w:pPr>
      <w:r>
        <w:separator/>
      </w:r>
    </w:p>
  </w:footnote>
  <w:footnote w:type="continuationSeparator" w:id="0">
    <w:p w:rsidR="00F657CC" w:rsidRDefault="00F657CC" w:rsidP="0049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893"/>
    <w:multiLevelType w:val="hybridMultilevel"/>
    <w:tmpl w:val="52B8BE4C"/>
    <w:lvl w:ilvl="0" w:tplc="4B80F34E">
      <w:start w:val="1"/>
      <w:numFmt w:val="bullet"/>
      <w:lvlText w:val=""/>
      <w:lvlJc w:val="left"/>
      <w:pPr>
        <w:tabs>
          <w:tab w:val="num" w:pos="644"/>
        </w:tabs>
        <w:ind w:left="64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21F12"/>
    <w:multiLevelType w:val="hybridMultilevel"/>
    <w:tmpl w:val="FEB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90B9F"/>
    <w:multiLevelType w:val="hybridMultilevel"/>
    <w:tmpl w:val="21C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287D"/>
    <w:multiLevelType w:val="hybridMultilevel"/>
    <w:tmpl w:val="F616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E15E7"/>
    <w:multiLevelType w:val="hybridMultilevel"/>
    <w:tmpl w:val="44D0496A"/>
    <w:lvl w:ilvl="0" w:tplc="DB46CA90">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2F297041"/>
    <w:multiLevelType w:val="hybridMultilevel"/>
    <w:tmpl w:val="7F545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FEB4C28"/>
    <w:multiLevelType w:val="hybridMultilevel"/>
    <w:tmpl w:val="9FBE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89545F"/>
    <w:multiLevelType w:val="hybridMultilevel"/>
    <w:tmpl w:val="2640CFDA"/>
    <w:lvl w:ilvl="0" w:tplc="6464C036">
      <w:start w:val="1"/>
      <w:numFmt w:val="bullet"/>
      <w:lvlText w:val="o"/>
      <w:lvlJc w:val="left"/>
      <w:pPr>
        <w:ind w:left="1440" w:hanging="360"/>
      </w:pPr>
      <w:rPr>
        <w:rFonts w:ascii="Courier New" w:eastAsia="Courier New" w:hAnsi="Courier New"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546A2F"/>
    <w:multiLevelType w:val="hybridMultilevel"/>
    <w:tmpl w:val="93989A4A"/>
    <w:lvl w:ilvl="0" w:tplc="6464C036">
      <w:start w:val="1"/>
      <w:numFmt w:val="bullet"/>
      <w:lvlText w:val="o"/>
      <w:lvlJc w:val="left"/>
      <w:pPr>
        <w:ind w:left="1800" w:hanging="360"/>
      </w:pPr>
      <w:rPr>
        <w:rFonts w:ascii="Courier New" w:eastAsia="Courier New" w:hAnsi="Courier New" w:hint="default"/>
        <w:w w:val="100"/>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633EF"/>
    <w:multiLevelType w:val="hybridMultilevel"/>
    <w:tmpl w:val="09649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88A448E"/>
    <w:multiLevelType w:val="hybridMultilevel"/>
    <w:tmpl w:val="7C9E5C6C"/>
    <w:lvl w:ilvl="0" w:tplc="079A006C">
      <w:start w:val="1"/>
      <w:numFmt w:val="bullet"/>
      <w:lvlText w:val=""/>
      <w:lvlJc w:val="left"/>
      <w:pPr>
        <w:ind w:left="720" w:hanging="360"/>
      </w:pPr>
      <w:rPr>
        <w:rFonts w:ascii="Symbol" w:hAnsi="Symbol" w:hint="default"/>
        <w:color w:val="1F3864" w:themeColor="accent5" w:themeShade="8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644B2"/>
    <w:multiLevelType w:val="hybridMultilevel"/>
    <w:tmpl w:val="9B629C6A"/>
    <w:lvl w:ilvl="0" w:tplc="23AE4C3C">
      <w:start w:val="1"/>
      <w:numFmt w:val="bullet"/>
      <w:lvlText w:val=""/>
      <w:lvlJc w:val="left"/>
      <w:pPr>
        <w:ind w:left="500" w:hanging="360"/>
      </w:pPr>
      <w:rPr>
        <w:rFonts w:ascii="Symbol" w:eastAsia="Symbol" w:hAnsi="Symbol" w:hint="default"/>
        <w:w w:val="100"/>
        <w:sz w:val="22"/>
        <w:szCs w:val="22"/>
      </w:rPr>
    </w:lvl>
    <w:lvl w:ilvl="1" w:tplc="F51CD6D6">
      <w:start w:val="1"/>
      <w:numFmt w:val="bullet"/>
      <w:lvlText w:val=""/>
      <w:lvlJc w:val="left"/>
      <w:pPr>
        <w:ind w:left="1220" w:hanging="360"/>
      </w:pPr>
      <w:rPr>
        <w:rFonts w:ascii="Wingdings" w:eastAsia="Wingdings" w:hAnsi="Wingdings" w:hint="default"/>
        <w:w w:val="100"/>
        <w:sz w:val="22"/>
        <w:szCs w:val="22"/>
      </w:rPr>
    </w:lvl>
    <w:lvl w:ilvl="2" w:tplc="6464C036">
      <w:start w:val="1"/>
      <w:numFmt w:val="bullet"/>
      <w:lvlText w:val="o"/>
      <w:lvlJc w:val="left"/>
      <w:pPr>
        <w:ind w:left="1940" w:hanging="360"/>
      </w:pPr>
      <w:rPr>
        <w:rFonts w:ascii="Courier New" w:eastAsia="Courier New" w:hAnsi="Courier New" w:hint="default"/>
        <w:w w:val="100"/>
        <w:sz w:val="22"/>
        <w:szCs w:val="22"/>
      </w:rPr>
    </w:lvl>
    <w:lvl w:ilvl="3" w:tplc="4C780674">
      <w:start w:val="1"/>
      <w:numFmt w:val="bullet"/>
      <w:lvlText w:val="•"/>
      <w:lvlJc w:val="left"/>
      <w:pPr>
        <w:ind w:left="2902" w:hanging="360"/>
      </w:pPr>
      <w:rPr>
        <w:rFonts w:hint="default"/>
      </w:rPr>
    </w:lvl>
    <w:lvl w:ilvl="4" w:tplc="010EE0A4">
      <w:start w:val="1"/>
      <w:numFmt w:val="bullet"/>
      <w:lvlText w:val="•"/>
      <w:lvlJc w:val="left"/>
      <w:pPr>
        <w:ind w:left="3865" w:hanging="360"/>
      </w:pPr>
      <w:rPr>
        <w:rFonts w:hint="default"/>
      </w:rPr>
    </w:lvl>
    <w:lvl w:ilvl="5" w:tplc="9DE863B2">
      <w:start w:val="1"/>
      <w:numFmt w:val="bullet"/>
      <w:lvlText w:val="•"/>
      <w:lvlJc w:val="left"/>
      <w:pPr>
        <w:ind w:left="4827" w:hanging="360"/>
      </w:pPr>
      <w:rPr>
        <w:rFonts w:hint="default"/>
      </w:rPr>
    </w:lvl>
    <w:lvl w:ilvl="6" w:tplc="408462F6">
      <w:start w:val="1"/>
      <w:numFmt w:val="bullet"/>
      <w:lvlText w:val="•"/>
      <w:lvlJc w:val="left"/>
      <w:pPr>
        <w:ind w:left="5790" w:hanging="360"/>
      </w:pPr>
      <w:rPr>
        <w:rFonts w:hint="default"/>
      </w:rPr>
    </w:lvl>
    <w:lvl w:ilvl="7" w:tplc="165AE2C6">
      <w:start w:val="1"/>
      <w:numFmt w:val="bullet"/>
      <w:lvlText w:val="•"/>
      <w:lvlJc w:val="left"/>
      <w:pPr>
        <w:ind w:left="6752" w:hanging="360"/>
      </w:pPr>
      <w:rPr>
        <w:rFonts w:hint="default"/>
      </w:rPr>
    </w:lvl>
    <w:lvl w:ilvl="8" w:tplc="78CCC8DA">
      <w:start w:val="1"/>
      <w:numFmt w:val="bullet"/>
      <w:lvlText w:val="•"/>
      <w:lvlJc w:val="left"/>
      <w:pPr>
        <w:ind w:left="7715" w:hanging="360"/>
      </w:pPr>
      <w:rPr>
        <w:rFonts w:hint="default"/>
      </w:rPr>
    </w:lvl>
  </w:abstractNum>
  <w:abstractNum w:abstractNumId="13" w15:restartNumberingAfterBreak="0">
    <w:nsid w:val="6D981D46"/>
    <w:multiLevelType w:val="hybridMultilevel"/>
    <w:tmpl w:val="69BCE106"/>
    <w:lvl w:ilvl="0" w:tplc="2B804842">
      <w:start w:val="1"/>
      <w:numFmt w:val="bullet"/>
      <w:lvlText w:val=""/>
      <w:lvlJc w:val="left"/>
      <w:pPr>
        <w:ind w:left="630" w:hanging="360"/>
      </w:pPr>
      <w:rPr>
        <w:rFonts w:ascii="Wingdings" w:hAnsi="Wingdings" w:hint="default"/>
        <w:color w:val="auto"/>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4" w15:restartNumberingAfterBreak="0">
    <w:nsid w:val="77E30ED2"/>
    <w:multiLevelType w:val="hybridMultilevel"/>
    <w:tmpl w:val="7B3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4"/>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13"/>
  </w:num>
  <w:num w:numId="11">
    <w:abstractNumId w:val="12"/>
  </w:num>
  <w:num w:numId="12">
    <w:abstractNumId w:val="1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6"/>
    <w:rsid w:val="00054B72"/>
    <w:rsid w:val="000903B2"/>
    <w:rsid w:val="00152629"/>
    <w:rsid w:val="001674E7"/>
    <w:rsid w:val="001C2DCD"/>
    <w:rsid w:val="002204C0"/>
    <w:rsid w:val="002313C9"/>
    <w:rsid w:val="002F2093"/>
    <w:rsid w:val="00474BC0"/>
    <w:rsid w:val="004958A6"/>
    <w:rsid w:val="00495E1F"/>
    <w:rsid w:val="004E69DD"/>
    <w:rsid w:val="005341E2"/>
    <w:rsid w:val="00561C5E"/>
    <w:rsid w:val="005B1E53"/>
    <w:rsid w:val="005C7A5B"/>
    <w:rsid w:val="006169B2"/>
    <w:rsid w:val="00654C7F"/>
    <w:rsid w:val="00665637"/>
    <w:rsid w:val="006A13FA"/>
    <w:rsid w:val="006B2914"/>
    <w:rsid w:val="006C3912"/>
    <w:rsid w:val="006D3C8E"/>
    <w:rsid w:val="006F386B"/>
    <w:rsid w:val="00704D5F"/>
    <w:rsid w:val="007A710B"/>
    <w:rsid w:val="00864D3D"/>
    <w:rsid w:val="00873554"/>
    <w:rsid w:val="008C4371"/>
    <w:rsid w:val="008C5ABC"/>
    <w:rsid w:val="00915F94"/>
    <w:rsid w:val="009648BC"/>
    <w:rsid w:val="009B0F67"/>
    <w:rsid w:val="00A26F20"/>
    <w:rsid w:val="00A725E8"/>
    <w:rsid w:val="00A9555E"/>
    <w:rsid w:val="00A96441"/>
    <w:rsid w:val="00AA1EA6"/>
    <w:rsid w:val="00AB67FD"/>
    <w:rsid w:val="00B97D9F"/>
    <w:rsid w:val="00BA5BB9"/>
    <w:rsid w:val="00C157D4"/>
    <w:rsid w:val="00C26B0C"/>
    <w:rsid w:val="00C30403"/>
    <w:rsid w:val="00C46F50"/>
    <w:rsid w:val="00C84764"/>
    <w:rsid w:val="00CC70CA"/>
    <w:rsid w:val="00CE3DF6"/>
    <w:rsid w:val="00CF394D"/>
    <w:rsid w:val="00D15EF3"/>
    <w:rsid w:val="00D90B70"/>
    <w:rsid w:val="00E44473"/>
    <w:rsid w:val="00E73FB5"/>
    <w:rsid w:val="00F2799E"/>
    <w:rsid w:val="00F6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1C29"/>
  <w15:chartTrackingRefBased/>
  <w15:docId w15:val="{D5061A95-B95A-4354-886F-7FA7E83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2313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3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D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DF6"/>
    <w:rPr>
      <w:rFonts w:eastAsiaTheme="minorEastAsia"/>
      <w:color w:val="5A5A5A" w:themeColor="text1" w:themeTint="A5"/>
      <w:spacing w:val="15"/>
    </w:rPr>
  </w:style>
  <w:style w:type="paragraph" w:styleId="ListParagraph">
    <w:name w:val="List Paragraph"/>
    <w:basedOn w:val="Normal"/>
    <w:uiPriority w:val="1"/>
    <w:qFormat/>
    <w:rsid w:val="00561C5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B1E53"/>
    <w:pPr>
      <w:spacing w:after="120"/>
    </w:pPr>
  </w:style>
  <w:style w:type="character" w:customStyle="1" w:styleId="BodyTextChar">
    <w:name w:val="Body Text Char"/>
    <w:basedOn w:val="DefaultParagraphFont"/>
    <w:link w:val="BodyText"/>
    <w:uiPriority w:val="99"/>
    <w:rsid w:val="005B1E53"/>
  </w:style>
  <w:style w:type="character" w:styleId="Hyperlink">
    <w:name w:val="Hyperlink"/>
    <w:basedOn w:val="DefaultParagraphFont"/>
    <w:uiPriority w:val="99"/>
    <w:unhideWhenUsed/>
    <w:rsid w:val="006B2914"/>
    <w:rPr>
      <w:color w:val="0563C1" w:themeColor="hyperlink"/>
      <w:u w:val="single"/>
    </w:rPr>
  </w:style>
  <w:style w:type="paragraph" w:customStyle="1" w:styleId="BriefingNotes">
    <w:name w:val="BriefingNotes"/>
    <w:basedOn w:val="Normal"/>
    <w:rsid w:val="009B0F67"/>
    <w:pPr>
      <w:spacing w:after="0" w:line="240" w:lineRule="auto"/>
    </w:pPr>
    <w:rPr>
      <w:rFonts w:ascii="Geneva" w:eastAsia="Times New Roman" w:hAnsi="Geneva" w:cs="Times New Roman"/>
      <w:noProof/>
      <w:sz w:val="24"/>
      <w:szCs w:val="20"/>
      <w:lang w:val="en-GB"/>
    </w:rPr>
  </w:style>
  <w:style w:type="character" w:styleId="EndnoteReference">
    <w:name w:val="endnote reference"/>
    <w:basedOn w:val="DefaultParagraphFont"/>
    <w:semiHidden/>
    <w:rsid w:val="009B0F67"/>
    <w:rPr>
      <w:vertAlign w:val="superscript"/>
    </w:rPr>
  </w:style>
  <w:style w:type="character" w:customStyle="1" w:styleId="Heading6Char">
    <w:name w:val="Heading 6 Char"/>
    <w:basedOn w:val="DefaultParagraphFont"/>
    <w:link w:val="Heading6"/>
    <w:uiPriority w:val="9"/>
    <w:semiHidden/>
    <w:rsid w:val="002313C9"/>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49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E1F"/>
    <w:rPr>
      <w:sz w:val="20"/>
      <w:szCs w:val="20"/>
    </w:rPr>
  </w:style>
  <w:style w:type="character" w:styleId="FootnoteReference">
    <w:name w:val="footnote reference"/>
    <w:basedOn w:val="DefaultParagraphFont"/>
    <w:uiPriority w:val="99"/>
    <w:semiHidden/>
    <w:unhideWhenUsed/>
    <w:rsid w:val="00495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3247">
      <w:bodyDiv w:val="1"/>
      <w:marLeft w:val="0"/>
      <w:marRight w:val="0"/>
      <w:marTop w:val="0"/>
      <w:marBottom w:val="0"/>
      <w:divBdr>
        <w:top w:val="none" w:sz="0" w:space="0" w:color="auto"/>
        <w:left w:val="none" w:sz="0" w:space="0" w:color="auto"/>
        <w:bottom w:val="none" w:sz="0" w:space="0" w:color="auto"/>
        <w:right w:val="none" w:sz="0" w:space="0" w:color="auto"/>
      </w:divBdr>
    </w:div>
    <w:div w:id="15889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CAA6-CC44-4913-BE67-911816DE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5</cp:revision>
  <dcterms:created xsi:type="dcterms:W3CDTF">2021-08-10T11:12:00Z</dcterms:created>
  <dcterms:modified xsi:type="dcterms:W3CDTF">2021-09-22T18:38:00Z</dcterms:modified>
</cp:coreProperties>
</file>